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358" w14:textId="77777777" w:rsidR="005B07A8" w:rsidRPr="00C5545E" w:rsidRDefault="005B07A8" w:rsidP="005B07A8">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03C7051E" w14:textId="77777777" w:rsidR="005B07A8" w:rsidRPr="00C5545E" w:rsidRDefault="005B07A8" w:rsidP="005B07A8">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051C03D4" w14:textId="77777777" w:rsidR="005B07A8" w:rsidRPr="00C5545E" w:rsidRDefault="005B07A8" w:rsidP="005B07A8">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1ECB8AC6" w14:textId="77777777" w:rsidR="005B07A8" w:rsidRPr="00C5545E" w:rsidRDefault="005B07A8" w:rsidP="005B07A8">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01978E99" w14:textId="77777777" w:rsidR="005B07A8" w:rsidRPr="00C5545E" w:rsidRDefault="005B07A8" w:rsidP="005B07A8">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Consecutive Interpreting </w:t>
      </w:r>
      <w:r w:rsidRPr="00C5545E">
        <w:rPr>
          <w:rFonts w:ascii="Times New Roman" w:hAnsi="Times New Roman" w:cs="Times New Roman"/>
          <w:b/>
          <w:bCs/>
          <w:lang w:val="en-US"/>
        </w:rPr>
        <w:t>”</w:t>
      </w:r>
    </w:p>
    <w:p w14:paraId="2E462DB1" w14:textId="77777777" w:rsidR="005B07A8" w:rsidRDefault="005B07A8" w:rsidP="005B07A8">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087DC208"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Pr>
          <w:rFonts w:ascii="Times New Roman" w:hAnsi="Times New Roman" w:cs="Times New Roman"/>
          <w:b/>
          <w:bCs/>
          <w:lang w:val="en-US"/>
        </w:rPr>
        <w:t>3</w:t>
      </w:r>
    </w:p>
    <w:p w14:paraId="4273E80E" w14:textId="77777777" w:rsidR="00C5545E" w:rsidRPr="00C5545E" w:rsidRDefault="00C5545E" w:rsidP="00C5545E">
      <w:pPr>
        <w:jc w:val="center"/>
        <w:rPr>
          <w:rFonts w:ascii="Times New Roman" w:hAnsi="Times New Roman" w:cs="Times New Roman"/>
          <w:b/>
          <w:bCs/>
          <w:lang w:val="en-US"/>
        </w:rPr>
      </w:pPr>
    </w:p>
    <w:p w14:paraId="3199D0F1" w14:textId="739A3C7F" w:rsidR="008A539A" w:rsidRPr="00C5545E" w:rsidRDefault="00C5545E" w:rsidP="00C5545E">
      <w:pPr>
        <w:jc w:val="center"/>
        <w:rPr>
          <w:rFonts w:ascii="Times New Roman" w:hAnsi="Times New Roman" w:cs="Times New Roman"/>
        </w:rPr>
      </w:pPr>
      <w:r w:rsidRPr="00C5545E">
        <w:rPr>
          <w:rFonts w:ascii="Times New Roman" w:hAnsi="Times New Roman" w:cs="Times New Roman"/>
        </w:rPr>
        <w:t>Function and style of the discourse</w:t>
      </w:r>
    </w:p>
    <w:p w14:paraId="0F09D1E9"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rPr>
        <w:t>The article is devoted to the problem of the correlation of the categories of discourse and functional style in modern specialists` interpretations. Attention to this problem is caused, on the one hand, by the growing popularity of the discursive analysis and the very term discourse, and, on the other hand, by the fact, that functional style remains one of the important categories in Eastern Europe linguistics. The key theories of discourse and functional style; the common features of discourse and functional style; the criteria for their separation have been singled out.</w:t>
      </w:r>
    </w:p>
    <w:p w14:paraId="06C698E9"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rPr>
        <w:t>The concepts of M. Foucault’s discourse, French and German-Austrian discourse analysis, schools of N.  Arutyunova, T. van Dijk, as well as the understanding of the style of V. V. Vinogradov and M. N. Kozhina have been involved for the theoretical comparison of the above-mentioned categories. According to modern researchers, discourse and functional style relate to the neighbouring linguistic disciplines and have common features. One of them is extralinguistic factor, which directly determine the specificity of discourse and functional style. At the same time, researchers put borders for discourse and functional style, recognizing the complexity of the problem of their separation. The differentiation of the categories is carried out by means of the ontological criterion: the discourse is interpreted via the concept of “discursive formation”, while style is interpreted via “the form of public consciousness”. Accordingly, scholars come to the conclusion about the diversity of structure and nature of the discourse and functional style. The importance of each concept is stated and the neccessity of their joint application for a deeper linguistic analysis of the text is emphasized.</w:t>
      </w:r>
    </w:p>
    <w:p w14:paraId="0BE4DE24"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rPr>
        <w:t xml:space="preserve">The correlation of the discourse and functional style is also considered on the basis of the textocentric model of discourse. The thesis about a certain hierarchical subordination of the methods of stylistics and discourse-analysis is argued. It is said about the “embedding” of the stylistics into the subject of discourse analysis, which promotes interdisciplinary enrichment: in </w:t>
      </w:r>
      <w:r w:rsidRPr="00C5545E">
        <w:rPr>
          <w:rFonts w:ascii="Times New Roman" w:hAnsi="Times New Roman" w:cs="Times New Roman"/>
        </w:rPr>
        <w:lastRenderedPageBreak/>
        <w:t>this case, the discourse analysis acquires the proper “linguostylistic” content, and stylistics is realized in the frames of  functional parameters of  the discourse.</w:t>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190D4A"/>
    <w:rsid w:val="002A599C"/>
    <w:rsid w:val="005B07A8"/>
    <w:rsid w:val="00884C4D"/>
    <w:rsid w:val="008A539A"/>
    <w:rsid w:val="00C5545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2024-10-04T01:13:00Z</dcterms:created>
  <dcterms:modified xsi:type="dcterms:W3CDTF">2026-01-20T11:55:00Z</dcterms:modified>
</cp:coreProperties>
</file>